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8F8F8"/>
        </w:rPr>
      </w:pPr>
      <w:r>
        <w:rPr>
          <w:rStyle w:val="8"/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8F8F8"/>
        </w:rPr>
        <w:t>宁夏海利科技有限公司污水处理系统项目(BOT) MVR蒸发母液干化设备采购</w:t>
      </w:r>
    </w:p>
    <w:p>
      <w:pPr>
        <w:jc w:val="center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8F8F8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8F8F8"/>
          <w:lang w:eastAsia="zh-CN"/>
        </w:rPr>
        <w:t>综合评比打分表</w:t>
      </w:r>
    </w:p>
    <w:tbl>
      <w:tblPr>
        <w:tblStyle w:val="6"/>
        <w:tblpPr w:leftFromText="180" w:rightFromText="180" w:vertAnchor="text" w:tblpXSpec="center" w:tblpY="1"/>
        <w:tblOverlap w:val="never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7"/>
        <w:gridCol w:w="815"/>
        <w:gridCol w:w="9067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3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highlight w:val="none"/>
                <w:lang w:val="en-US" w:eastAsia="zh-CN"/>
              </w:rPr>
              <w:t>商务部分（20分）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综合实力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szCs w:val="21"/>
              </w:rPr>
              <w:t>3</w:t>
            </w:r>
          </w:p>
        </w:tc>
        <w:tc>
          <w:tcPr>
            <w:tcW w:w="337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人具有ISO质量管理体系认证、环境管理体系认证、职业健康管理体系认证证书且在有效期内的，每项计1分，满分3分。以上证书均需全国认证认可信息公共服务平台（http://cx.cnca.cn/CertECloud/index/index/page）上能查询到，并在投标文件中附上相应网站截图及证书复印件加盖投标人公章，否则不计分。</w:t>
            </w:r>
          </w:p>
        </w:tc>
        <w:tc>
          <w:tcPr>
            <w:tcW w:w="3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类似业绩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投标人自201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月以来（以合同签订时间为准）具有类似业绩的，每提供一个计2分,最多计6分。（提供合同复印件并加盖投标人公章，否则不计分。）</w:t>
            </w:r>
          </w:p>
        </w:tc>
        <w:tc>
          <w:tcPr>
            <w:tcW w:w="3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商务响应情况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  <w:bookmarkStart w:id="0" w:name="_GoBack"/>
            <w:bookmarkEnd w:id="0"/>
          </w:p>
        </w:tc>
        <w:tc>
          <w:tcPr>
            <w:tcW w:w="3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完全满足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szCs w:val="21"/>
              </w:rPr>
              <w:t>文件商务要求的计11分，商务条款工期要求及付款方式、售后要求每负偏离一项扣4分，其他商务要求每负偏离一项扣1.5分；如应答时缺项，则作为负偏离处理。</w:t>
            </w:r>
          </w:p>
        </w:tc>
        <w:tc>
          <w:tcPr>
            <w:tcW w:w="3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技术部分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0分）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产品配置及技术参数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投标产品技术性能指标完全满足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询价文件</w:t>
            </w:r>
            <w:r>
              <w:rPr>
                <w:rFonts w:hint="eastAsia" w:ascii="宋体" w:hAnsi="宋体" w:cs="宋体"/>
                <w:szCs w:val="21"/>
              </w:rPr>
              <w:t>技术参数要求的计20分，技术指标每负偏离一项扣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分，扣完为止。对技术指标的应答缺项、未应答或不满足应答的，均视为负偏离。</w:t>
            </w:r>
          </w:p>
        </w:tc>
        <w:tc>
          <w:tcPr>
            <w:tcW w:w="3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项目实施方案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3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投标人针对本项目提供项目实施方案，方案包含但不限于①项目整体部署、②质量保证措施、③产品配置和技术成熟度、④安装调试措施、⑤合理化建议等，方案完整可行、科学合理的计10分，欠完整、欠合理的每项扣1分，出现缺项或不合理项的每项扣2分；未提供方案不计分。</w:t>
            </w:r>
          </w:p>
        </w:tc>
        <w:tc>
          <w:tcPr>
            <w:tcW w:w="354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售后服务方案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售后服务方案包含但不限于①售后培训、②故障响应时间、③服务相关措施及人员安排、④定期巡检安排等。方案内容完整详细、科学合理、可操作性强的计4分。缺项漏项、内容欠合理、可操作性不强的每处扣1分，扣完为止。未提供方案不计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2、满足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询价文件</w:t>
            </w:r>
            <w:r>
              <w:rPr>
                <w:rFonts w:hint="eastAsia" w:ascii="宋体" w:hAnsi="宋体" w:cs="宋体"/>
                <w:szCs w:val="21"/>
              </w:rPr>
              <w:t>质保期要求基础上，每增加一年质保期加2分，最多加6分（需提供质保</w:t>
            </w:r>
            <w:r>
              <w:rPr>
                <w:rFonts w:hint="eastAsia" w:ascii="宋体" w:hAnsi="宋体" w:cs="宋体"/>
                <w:szCs w:val="21"/>
              </w:rPr>
              <w:t>期承诺书并加盖投标人公章，否则不计分）。</w:t>
            </w:r>
          </w:p>
        </w:tc>
        <w:tc>
          <w:tcPr>
            <w:tcW w:w="3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报价部分（40分）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33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根据供应商的有效报价的平均数确定评审基准价。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偏差率大于0：偏差率从0开始每递升1％减1分。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偏差率等于0：报价分为40分；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偏差率小于0：偏差率从0开始每降1％减0.5分计算。</w:t>
            </w:r>
          </w:p>
        </w:tc>
        <w:tc>
          <w:tcPr>
            <w:tcW w:w="3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3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zEyZGE2OTFlMzBmNzcyNmU2NzgwZjM5ZTYzNDkifQ=="/>
  </w:docVars>
  <w:rsids>
    <w:rsidRoot w:val="11C32257"/>
    <w:rsid w:val="037A63EF"/>
    <w:rsid w:val="065535E8"/>
    <w:rsid w:val="07127FB9"/>
    <w:rsid w:val="082D64C9"/>
    <w:rsid w:val="0E8B0CF5"/>
    <w:rsid w:val="0F0B00C2"/>
    <w:rsid w:val="11C32257"/>
    <w:rsid w:val="13E71A7B"/>
    <w:rsid w:val="155361F1"/>
    <w:rsid w:val="17347C6E"/>
    <w:rsid w:val="18B317E5"/>
    <w:rsid w:val="19F86200"/>
    <w:rsid w:val="241B1C46"/>
    <w:rsid w:val="2CC44B7F"/>
    <w:rsid w:val="2CC513F3"/>
    <w:rsid w:val="2DE36832"/>
    <w:rsid w:val="32BF2CDE"/>
    <w:rsid w:val="34B42CE6"/>
    <w:rsid w:val="38351B85"/>
    <w:rsid w:val="3B5B5D38"/>
    <w:rsid w:val="4260497B"/>
    <w:rsid w:val="468A3BB0"/>
    <w:rsid w:val="4889733C"/>
    <w:rsid w:val="4B033756"/>
    <w:rsid w:val="4D2A3B72"/>
    <w:rsid w:val="4D8379B7"/>
    <w:rsid w:val="51157045"/>
    <w:rsid w:val="53114167"/>
    <w:rsid w:val="5DC6342A"/>
    <w:rsid w:val="63426D09"/>
    <w:rsid w:val="67181C84"/>
    <w:rsid w:val="6C371BCD"/>
    <w:rsid w:val="6CC241E3"/>
    <w:rsid w:val="71AB310D"/>
    <w:rsid w:val="748A3BA0"/>
    <w:rsid w:val="773D3A22"/>
    <w:rsid w:val="77C11DA9"/>
    <w:rsid w:val="7A3A3103"/>
    <w:rsid w:val="7ADD72FE"/>
    <w:rsid w:val="7B073C4A"/>
    <w:rsid w:val="7C17037D"/>
    <w:rsid w:val="7FD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20"/>
    </w:rPr>
  </w:style>
  <w:style w:type="paragraph" w:styleId="3">
    <w:name w:val="footnote text"/>
    <w:basedOn w:val="1"/>
    <w:qFormat/>
    <w:uiPriority w:val="0"/>
    <w:pPr>
      <w:widowControl/>
      <w:snapToGrid w:val="0"/>
      <w:spacing w:line="240" w:lineRule="atLeast"/>
      <w:ind w:firstLine="0" w:firstLineChars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ormal_268"/>
    <w:qFormat/>
    <w:uiPriority w:val="0"/>
    <w:rPr>
      <w:rFonts w:ascii="Calibri" w:hAnsi="Calibri" w:eastAsia="Times New Roman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2023-11-16T07:04:00Z</dcterms:created>
  <dc:creator>胡娟</dc:creator>
  <cp:lastModifiedBy>吴思容</cp:lastModifiedBy>
  <dcterms:modified xsi:type="dcterms:W3CDTF">2024-01-02T03:00:09Z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86775210C9DC4AE088E7FFECBB5953EA</vt:lpwstr>
  </property>
</Properties>
</file>